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0"/>
          <w:numId w:val="0"/>
        </w:numPr>
        <w:bidi w:val="0"/>
        <w:spacing w:before="200" w:after="120"/>
        <w:ind w:hanging="0" w:left="0"/>
        <w:jc w:val="left"/>
        <w:rPr/>
      </w:pPr>
      <w:r>
        <w:rPr/>
        <w:t>Qualité de l'Air et Santé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Sans formaldéhyde : L'utilisation de colle MDI garantit l'absence de formaldéhyde ajouté, répondant aux normes les plus strictes (ENF).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Différenciation commerciale : L'argument "Santé/MDI" est inclus d'office, là où l'option sans formaldéhyde est très coûteuse pour les autres types de panneaux comme le contreplaqué.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Inertie chimique : Après polymérisation, la résine MDI est stable et résistante à l'humidité.</w:t>
      </w:r>
    </w:p>
    <w:p>
      <w:pPr>
        <w:pStyle w:val="Heading2"/>
        <w:bidi w:val="0"/>
        <w:ind w:hanging="0" w:left="0"/>
        <w:jc w:val="left"/>
        <w:rPr/>
      </w:pPr>
      <w:r>
        <w:rPr/>
        <w:t>Avantages Économiques et de Rentabilité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Coût direct : Le FOSB est nettement plus économique, avec une réduction de prix de l'ordre de 30 à 40% par rapport au contreplaqué classique.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Optimisation des ressources : Le prix au m² est compétitif grâce à une ressource optimisée, permettant une économie globale de 15 à 30% sur le poste de dépense matière.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Réduction du gaspillage : Étant un matériau homogène, les pertes et chutes sont plus faibles, optimisant ainsi chaque découpe.</w:t>
      </w:r>
    </w:p>
    <w:p>
      <w:pPr>
        <w:pStyle w:val="Heading2"/>
        <w:numPr>
          <w:ilvl w:val="0"/>
          <w:numId w:val="0"/>
        </w:numPr>
        <w:bidi w:val="0"/>
        <w:ind w:hanging="0" w:left="0"/>
        <w:jc w:val="left"/>
        <w:rPr/>
      </w:pPr>
      <w:r>
        <w:rPr/>
        <w:t>Performance Technique et Durabilité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Résistance à l'humidité : La résine MDI insoluble assure une performance optimale même en conditions humides (usage intérieur en milieu humide selon la DOP).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Stabilité structurelle : Grâce à sa structure multicouche croisée, le panneau ne "tuile" pas et présente un risque de déformation très faible par rapport à certaines essences de bois.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Propriétés mécaniques : Il présente une excellente tenue au vissage (900N en face, 600N sur les chants) et une résistance à la flexion certifiée.</w:t>
      </w:r>
    </w:p>
    <w:p>
      <w:pPr>
        <w:pStyle w:val="Heading2"/>
        <w:numPr>
          <w:ilvl w:val="0"/>
          <w:numId w:val="0"/>
        </w:numPr>
        <w:bidi w:val="0"/>
        <w:ind w:hanging="0" w:left="0"/>
        <w:jc w:val="left"/>
        <w:rPr/>
      </w:pPr>
      <w:r>
        <w:rPr/>
        <w:t>Finition et Mise en œuvre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Aspect de surface : Contrairement à l'OSB standard, le FOSB possède une surface ultra-lisse grâce à l'utilisation de particules fines.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Gain de main-d'œuvre : La surface est déjà fine, évitant les étapes de ponçage de grain souvent nécessaires sur le contreplaqué.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Prêt à l'emploi : Le matériau accepte directement la peinture ou le vernis avec une absorption homogène.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Titre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298</Words>
  <Characters>1562</Characters>
  <CharactersWithSpaces>1831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2026-02-08T10:39:41Z</dcterms:created>
  <dc:creator/>
  <dc:description/>
  <dc:language>fr-FR</dc:language>
  <cp:lastModifiedBy/>
  <dcterms:modified xsi:type="dcterms:W3CDTF">2026-02-08T10:41:32Z</dcterms:modified>
  <cp:revision>3</cp:revision>
  <dc:subject/>
  <dc:title/>
</cp:coreProperties>
</file>